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080"/>
            <w:shd w:fill="0B1220"/>
            <w:tcMar>
              <w:top w:w="560" w:type="dxa"/>
              <w:start w:w="420" w:type="dxa"/>
              <w:bottom w:w="560" w:type="dxa"/>
              <w:end w:w="420" w:type="dxa"/>
            </w:tcMar>
            <w:vAlign w:val="center"/>
          </w:tcPr>
          <w:p>
            <w:pPr>
              <w:pStyle w:val="MirAIEyebrow"/>
              <w:jc w:val="left"/>
            </w:pPr>
            <w:r>
              <w:rPr>
                <w:rFonts w:ascii="Aptos" w:hAnsi="Aptos"/>
                <w:b/>
                <w:color w:val="1ECAD3"/>
                <w:sz w:val="18"/>
              </w:rPr>
              <w:t>MIRAI TECHNOLOGIES  /  LEARN-IT</w:t>
            </w:r>
          </w:p>
          <w:p>
            <w:pPr>
              <w:spacing w:before="640" w:after="120"/>
            </w:pPr>
            <w:r>
              <w:rPr>
                <w:rFonts w:ascii="Aptos Display" w:hAnsi="Aptos Display"/>
                <w:b/>
                <w:color w:val="FFFFFF"/>
                <w:sz w:val="60"/>
              </w:rPr>
              <w:t>Product Overview &amp; Selling Points</w:t>
            </w:r>
          </w:p>
          <w:p>
            <w:pPr>
              <w:spacing w:after="360"/>
            </w:pPr>
            <w:r>
              <w:rPr>
                <w:rFonts w:ascii="Aptos Display" w:hAnsi="Aptos Display"/>
                <w:color w:val="CFD7E7"/>
                <w:sz w:val="28"/>
              </w:rPr>
              <w:t>Customer-facing messaging for the Learn-It training and enablement platform</w:t>
            </w:r>
          </w:p>
          <w:p>
            <w:pPr>
              <w:spacing w:before="440"/>
            </w:pPr>
            <w:r>
              <w:rPr>
                <w:rFonts w:ascii="Aptos" w:hAnsi="Aptos"/>
                <w:b/>
                <w:color w:val="1ECAD3"/>
                <w:sz w:val="20"/>
              </w:rPr>
              <w:t>FROM COMPLETION TO READINESS</w:t>
            </w:r>
          </w:p>
          <w:p>
            <w:pPr>
              <w:spacing w:after="440"/>
            </w:pPr>
            <w:r>
              <w:rPr>
                <w:rFonts w:ascii="Aptos" w:hAnsi="Aptos"/>
                <w:color w:val="FFFFFF"/>
                <w:sz w:val="22"/>
              </w:rPr>
              <w:t>Turn approved company knowledge into structured learning, grounded assessment, and realistic AI-powered practice.</w:t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3096"/>
              <w:gridCol w:w="3816"/>
            </w:tblGrid>
            <w:tr>
              <w:tc>
                <w:tcPr>
                  <w:tcW w:type="dxa" w:w="5040"/>
                  <w:tcMar>
                    <w:top w:w="140" w:type="dxa"/>
                    <w:start w:w="180" w:type="dxa"/>
                    <w:bottom w:w="140" w:type="dxa"/>
                    <w:end w:w="180" w:type="dxa"/>
                  </w:tcMar>
                  <w:tcBorders>
                    <w:top w:val="single" w:sz="10" w:color="35445C"/>
                    <w:left w:val="single" w:sz="10" w:color="35445C"/>
                    <w:bottom w:val="single" w:sz="10" w:color="35445C"/>
                    <w:right w:val="single" w:sz="10" w:color="35445C"/>
                  </w:tcBorders>
                  <w:shd w:fill="17243A"/>
                </w:tcPr>
                <w:p>
                  <w:pPr>
                    <w:jc w:val="center"/>
                  </w:pPr>
                  <w:hyperlink r:id="rId10">
                    <w:r>
                      <w:rPr>
                        <w:color w:val="FFFFFF"/>
                        <w:b/>
                        <w:sz w:val="20"/>
                        <w:szCs w:val="20"/>
                        <w:rFonts w:ascii="Aptos" w:hAnsi="Aptos"/>
                      </w:rPr>
                      <w:t>Visit MirAI</w:t>
                    </w:r>
                  </w:hyperlink>
                </w:p>
              </w:tc>
              <w:tc>
                <w:tcPr>
                  <w:tcW w:type="dxa" w:w="5040"/>
                  <w:tcMar>
                    <w:top w:w="140" w:type="dxa"/>
                    <w:start w:w="180" w:type="dxa"/>
                    <w:bottom w:w="140" w:type="dxa"/>
                    <w:end w:w="180" w:type="dxa"/>
                  </w:tcMar>
                  <w:tcBorders>
                    <w:top w:val="single" w:sz="10" w:color="35445C"/>
                    <w:left w:val="single" w:sz="10" w:color="35445C"/>
                    <w:bottom w:val="single" w:sz="10" w:color="35445C"/>
                    <w:right w:val="single" w:sz="10" w:color="35445C"/>
                  </w:tcBorders>
                  <w:shd w:fill="246BFD"/>
                </w:tcPr>
                <w:p>
                  <w:pPr>
                    <w:jc w:val="center"/>
                  </w:pPr>
                  <w:hyperlink r:id="rId11">
                    <w:r>
                      <w:rPr>
                        <w:color w:val="FFFFFF"/>
                        <w:b/>
                        <w:sz w:val="20"/>
                        <w:szCs w:val="20"/>
                        <w:rFonts w:ascii="Aptos" w:hAnsi="Aptos"/>
                      </w:rPr>
                      <w:t>Request a Learn-It Demo</w:t>
                    </w:r>
                  </w:hyperlink>
                </w:p>
              </w:tc>
            </w:tr>
          </w:tbl>
          <w:p/>
        </w:tc>
      </w:tr>
    </w:tbl>
    <w:p>
      <w:pPr>
        <w:spacing w:before="100"/>
        <w:jc w:val="right"/>
      </w:pPr>
      <w:r>
        <w:rPr>
          <w:rFonts w:ascii="Aptos" w:hAnsi="Aptos"/>
          <w:color w:val="5B6574"/>
          <w:sz w:val="16"/>
        </w:rPr>
        <w:t>MirAI Technologies  |  September 2026</w:t>
      </w:r>
    </w:p>
    <w:p>
      <w:r>
        <w:br w:type="page"/>
      </w:r>
    </w:p>
    <w:p>
      <w:pPr>
        <w:pStyle w:val="MirAIEyebrow"/>
      </w:pPr>
      <w:r>
        <w:rPr>
          <w:rFonts w:ascii="Aptos" w:hAnsi="Aptos"/>
          <w:b/>
          <w:color w:val="1ECAD3"/>
        </w:rPr>
        <w:t>PRODUCT POSITIONING</w:t>
      </w:r>
    </w:p>
    <w:p>
      <w:pPr>
        <w:pStyle w:val="Heading1"/>
      </w:pPr>
      <w:r>
        <w:t>What Learn-It is</w:t>
      </w:r>
    </w:p>
    <w:p>
      <w:pPr>
        <w:spacing w:after="200"/>
      </w:pPr>
      <w:r>
        <w:rPr>
          <w:rFonts w:ascii="Aptos" w:hAnsi="Aptos"/>
          <w:color w:val="5B6574"/>
          <w:sz w:val="21"/>
        </w:rPr>
        <w:t>Learn-It is an AI-powered training and enablement platform from MirAI Technologies that brings learning delivery, assessment, administration, and realistic AI-powered practice into one connected experience.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3"/>
        <w:gridCol w:w="9720"/>
      </w:tblGrid>
      <w:tr>
        <w:trPr>
          <w:cantSplit/>
        </w:trPr>
        <w:tc>
          <w:tcPr>
            <w:tcW w:type="dxa" w:w="5112"/>
            <w:shd w:fill="246BFD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112"/>
            <w:shd w:fill="EAF1FF"/>
            <w:tcMar>
              <w:top w:w="160" w:type="dxa"/>
              <w:start w:w="220" w:type="dxa"/>
              <w:bottom w:w="160" w:type="dxa"/>
              <w:end w:w="220" w:type="dxa"/>
            </w:tcMar>
          </w:tcPr>
          <w:p>
            <w:r>
              <w:rPr>
                <w:rFonts w:ascii="Aptos" w:hAnsi="Aptos"/>
                <w:b/>
                <w:color w:val="0B1220"/>
                <w:sz w:val="22"/>
              </w:rPr>
              <w:t>The positioning to lead with</w:t>
            </w:r>
          </w:p>
          <w:p>
            <w:pPr>
              <w:spacing w:after="0"/>
            </w:pPr>
            <w:r>
              <w:rPr>
                <w:rFonts w:ascii="Aptos" w:hAnsi="Aptos"/>
                <w:color w:val="152033"/>
                <w:sz w:val="19"/>
              </w:rPr>
              <w:t>Traditional training can tell you who completed a course. Learn-It is designed to help organizations move toward a more important question: can the learner actually apply what they learned?</w:t>
            </w:r>
          </w:p>
        </w:tc>
      </w:tr>
    </w:tbl>
    <w:p>
      <w:pPr>
        <w:spacing w:after="20"/>
      </w:pPr>
    </w:p>
    <w:p>
      <w:pPr>
        <w:pStyle w:val="MirAIPullQuote"/>
        <w:jc w:val="center"/>
      </w:pPr>
      <w:r>
        <w:t>Your company already has the knowledge. Learn-It turns it into capability.</w:t>
      </w:r>
    </w:p>
    <w:p>
      <w:pPr>
        <w:pStyle w:val="MirAIEyebrow"/>
      </w:pPr>
      <w:r>
        <w:rPr>
          <w:rFonts w:ascii="Aptos" w:hAnsi="Aptos"/>
          <w:b/>
          <w:color w:val="1ECAD3"/>
        </w:rPr>
        <w:t>SALES MESSAGING</w:t>
      </w:r>
    </w:p>
    <w:p>
      <w:pPr>
        <w:pStyle w:val="Heading1"/>
      </w:pPr>
      <w:r>
        <w:t>Selling points</w:t>
      </w:r>
    </w:p>
    <w:p>
      <w:pPr>
        <w:spacing w:after="200"/>
      </w:pPr>
      <w:r>
        <w:rPr>
          <w:rFonts w:ascii="Aptos" w:hAnsi="Aptos"/>
          <w:color w:val="5B6574"/>
          <w:sz w:val="21"/>
        </w:rPr>
        <w:t>Use these as modular talking points in proposals, one-pagers, web copy, outbound messages, and discovery conversations.</w:t>
      </w:r>
    </w:p>
    <w:p>
      <w:pPr>
        <w:spacing w:after="84"/>
        <w:ind w:left="331" w:hanging="259"/>
      </w:pPr>
      <w:r>
        <w:rPr>
          <w:rFonts w:ascii="Aptos" w:hAnsi="Aptos"/>
          <w:b/>
          <w:color w:val="1ECAD3"/>
        </w:rPr>
        <w:t xml:space="preserve">•  </w:t>
      </w:r>
      <w:r>
        <w:rPr>
          <w:rFonts w:ascii="Aptos" w:hAnsi="Aptos"/>
          <w:b/>
          <w:color w:val="152033"/>
        </w:rPr>
        <w:t>Turn existing company knowledge into training.</w:t>
      </w:r>
      <w:r>
        <w:rPr>
          <w:rFonts w:ascii="Aptos" w:hAnsi="Aptos"/>
          <w:color w:val="152033"/>
        </w:rPr>
        <w:t xml:space="preserve"> Use approved policies, procedures, product documentation, sales guides, support content, presentations, and existing course material as the foundation for role-based learning.</w:t>
      </w:r>
    </w:p>
    <w:p>
      <w:pPr>
        <w:spacing w:after="84"/>
        <w:ind w:left="331" w:hanging="259"/>
      </w:pPr>
      <w:r>
        <w:rPr>
          <w:rFonts w:ascii="Aptos" w:hAnsi="Aptos"/>
          <w:b/>
          <w:color w:val="1ECAD3"/>
        </w:rPr>
        <w:t xml:space="preserve">•  </w:t>
      </w:r>
      <w:r>
        <w:rPr>
          <w:rFonts w:ascii="Aptos" w:hAnsi="Aptos"/>
          <w:b/>
          <w:color w:val="152033"/>
        </w:rPr>
        <w:t>Build structured, editable courses.</w:t>
      </w:r>
      <w:r>
        <w:rPr>
          <w:rFonts w:ascii="Aptos" w:hAnsi="Aptos"/>
          <w:color w:val="152033"/>
        </w:rPr>
        <w:t xml:space="preserve"> Organize knowledge into courses and modules with learning objectives, summaries, lesson content, assignments, and role-specific paths.</w:t>
      </w:r>
    </w:p>
    <w:p>
      <w:pPr>
        <w:spacing w:after="84"/>
        <w:ind w:left="331" w:hanging="259"/>
      </w:pPr>
      <w:r>
        <w:rPr>
          <w:rFonts w:ascii="Aptos" w:hAnsi="Aptos"/>
          <w:b/>
          <w:color w:val="1ECAD3"/>
        </w:rPr>
        <w:t xml:space="preserve">•  </w:t>
      </w:r>
      <w:r>
        <w:rPr>
          <w:rFonts w:ascii="Aptos" w:hAnsi="Aptos"/>
          <w:b/>
          <w:color w:val="152033"/>
        </w:rPr>
        <w:t>Use AI to accelerate drafting - not replace subject-matter review.</w:t>
      </w:r>
      <w:r>
        <w:rPr>
          <w:rFonts w:ascii="Aptos" w:hAnsi="Aptos"/>
          <w:color w:val="152033"/>
        </w:rPr>
        <w:t xml:space="preserve"> Learn-It can assist course and assessment creation while customer administrators and subject-matter experts review, edit, and publish what learners receive.</w:t>
      </w:r>
    </w:p>
    <w:p>
      <w:pPr>
        <w:spacing w:after="84"/>
        <w:ind w:left="331" w:hanging="259"/>
      </w:pPr>
      <w:r>
        <w:rPr>
          <w:rFonts w:ascii="Aptos" w:hAnsi="Aptos"/>
          <w:b/>
          <w:color w:val="1ECAD3"/>
        </w:rPr>
        <w:t xml:space="preserve">•  </w:t>
      </w:r>
      <w:r>
        <w:rPr>
          <w:rFonts w:ascii="Aptos" w:hAnsi="Aptos"/>
          <w:b/>
          <w:color w:val="152033"/>
        </w:rPr>
        <w:t>Assess what was actually taught.</w:t>
      </w:r>
      <w:r>
        <w:rPr>
          <w:rFonts w:ascii="Aptos" w:hAnsi="Aptos"/>
          <w:color w:val="152033"/>
        </w:rPr>
        <w:t xml:space="preserve"> Ground assessments in saved course modules so knowledge checks reflect approved training instead of a generic test bank.</w:t>
      </w:r>
    </w:p>
    <w:p>
      <w:pPr>
        <w:spacing w:after="84"/>
        <w:ind w:left="331" w:hanging="259"/>
      </w:pPr>
      <w:r>
        <w:rPr>
          <w:rFonts w:ascii="Aptos" w:hAnsi="Aptos"/>
          <w:b/>
          <w:color w:val="1ECAD3"/>
        </w:rPr>
        <w:t xml:space="preserve">•  </w:t>
      </w:r>
      <w:r>
        <w:rPr>
          <w:rFonts w:ascii="Aptos" w:hAnsi="Aptos"/>
          <w:b/>
          <w:color w:val="152033"/>
        </w:rPr>
        <w:t>Support mastery instead of one-and-done testing.</w:t>
      </w:r>
      <w:r>
        <w:rPr>
          <w:rFonts w:ascii="Aptos" w:hAnsi="Aptos"/>
          <w:color w:val="152033"/>
        </w:rPr>
        <w:t xml:space="preserve"> Use passing requirements, structured results, and retakes to give learners a path to demonstrate understanding.</w:t>
      </w:r>
    </w:p>
    <w:p>
      <w:pPr>
        <w:spacing w:after="84"/>
        <w:ind w:left="331" w:hanging="259"/>
      </w:pPr>
      <w:r>
        <w:rPr>
          <w:rFonts w:ascii="Aptos" w:hAnsi="Aptos"/>
          <w:b/>
          <w:color w:val="1ECAD3"/>
        </w:rPr>
        <w:t xml:space="preserve">•  </w:t>
      </w:r>
      <w:r>
        <w:rPr>
          <w:rFonts w:ascii="Aptos" w:hAnsi="Aptos"/>
          <w:b/>
          <w:color w:val="152033"/>
        </w:rPr>
        <w:t>Practice realistic conversations with AI personas.</w:t>
      </w:r>
      <w:r>
        <w:rPr>
          <w:rFonts w:ascii="Aptos" w:hAnsi="Aptos"/>
          <w:color w:val="152033"/>
        </w:rPr>
        <w:t xml:space="preserve"> Create reusable personas with configurable roles, tone, directness, visual identity, voice, language, and level of difficulty.</w:t>
      </w:r>
    </w:p>
    <w:p>
      <w:pPr>
        <w:spacing w:after="84"/>
        <w:ind w:left="331" w:hanging="259"/>
      </w:pPr>
      <w:r>
        <w:rPr>
          <w:rFonts w:ascii="Aptos" w:hAnsi="Aptos"/>
          <w:b/>
          <w:color w:val="1ECAD3"/>
        </w:rPr>
        <w:t xml:space="preserve">•  </w:t>
      </w:r>
      <w:r>
        <w:rPr>
          <w:rFonts w:ascii="Aptos" w:hAnsi="Aptos"/>
          <w:b/>
          <w:color w:val="152033"/>
        </w:rPr>
        <w:t>Make practice dynamic rather than scripted.</w:t>
      </w:r>
      <w:r>
        <w:rPr>
          <w:rFonts w:ascii="Aptos" w:hAnsi="Aptos"/>
          <w:color w:val="152033"/>
        </w:rPr>
        <w:t xml:space="preserve"> Persona Call interactions respond to the learner's own answers, ask follow-up questions, introduce objections, and change direction during the conversation.</w:t>
      </w:r>
    </w:p>
    <w:p>
      <w:pPr>
        <w:spacing w:after="84"/>
        <w:ind w:left="331" w:hanging="259"/>
      </w:pPr>
      <w:r>
        <w:rPr>
          <w:rFonts w:ascii="Aptos" w:hAnsi="Aptos"/>
          <w:b/>
          <w:color w:val="1ECAD3"/>
        </w:rPr>
        <w:t xml:space="preserve">•  </w:t>
      </w:r>
      <w:r>
        <w:rPr>
          <w:rFonts w:ascii="Aptos" w:hAnsi="Aptos"/>
          <w:b/>
          <w:color w:val="152033"/>
        </w:rPr>
        <w:t>Evaluate applied readiness.</w:t>
      </w:r>
      <w:r>
        <w:rPr>
          <w:rFonts w:ascii="Aptos" w:hAnsi="Aptos"/>
          <w:color w:val="152033"/>
        </w:rPr>
        <w:t xml:space="preserve"> Use the full learner interaction to assess whether someone can explain, respond, and apply the course material in a realistic situation.</w:t>
      </w:r>
    </w:p>
    <w:p>
      <w:pPr>
        <w:spacing w:after="84"/>
        <w:ind w:left="331" w:hanging="259"/>
      </w:pPr>
      <w:r>
        <w:rPr>
          <w:rFonts w:ascii="Aptos" w:hAnsi="Aptos"/>
          <w:b/>
          <w:color w:val="1ECAD3"/>
        </w:rPr>
        <w:t xml:space="preserve">•  </w:t>
      </w:r>
      <w:r>
        <w:rPr>
          <w:rFonts w:ascii="Aptos" w:hAnsi="Aptos"/>
          <w:b/>
          <w:color w:val="152033"/>
        </w:rPr>
        <w:t>Give people a safe place to practice.</w:t>
      </w:r>
      <w:r>
        <w:rPr>
          <w:rFonts w:ascii="Aptos" w:hAnsi="Aptos"/>
          <w:color w:val="152033"/>
        </w:rPr>
        <w:t xml:space="preserve"> Employees, customers, partners, dealers, franchisees, and software users can rehearse high-stakes or unfamiliar situations before the real conversation matters.</w:t>
      </w:r>
    </w:p>
    <w:p>
      <w:pPr>
        <w:spacing w:after="84"/>
        <w:ind w:left="331" w:hanging="259"/>
      </w:pPr>
      <w:r>
        <w:rPr>
          <w:rFonts w:ascii="Aptos" w:hAnsi="Aptos"/>
          <w:b/>
          <w:color w:val="1ECAD3"/>
        </w:rPr>
        <w:t xml:space="preserve">•  </w:t>
      </w:r>
      <w:r>
        <w:rPr>
          <w:rFonts w:ascii="Aptos" w:hAnsi="Aptos"/>
          <w:b/>
          <w:color w:val="152033"/>
        </w:rPr>
        <w:t>Reduce dependency on manager-led role-play.</w:t>
      </w:r>
      <w:r>
        <w:rPr>
          <w:rFonts w:ascii="Aptos" w:hAnsi="Aptos"/>
          <w:color w:val="152033"/>
        </w:rPr>
        <w:t xml:space="preserve"> Create repeatable practice experiences that do not require a trainer or manager to conduct every simulation.</w:t>
      </w:r>
    </w:p>
    <w:p>
      <w:pPr>
        <w:spacing w:after="84"/>
        <w:ind w:left="331" w:hanging="259"/>
      </w:pPr>
      <w:r>
        <w:rPr>
          <w:rFonts w:ascii="Aptos" w:hAnsi="Aptos"/>
          <w:b/>
          <w:color w:val="1ECAD3"/>
        </w:rPr>
        <w:t xml:space="preserve">•  </w:t>
      </w:r>
      <w:r>
        <w:rPr>
          <w:rFonts w:ascii="Aptos" w:hAnsi="Aptos"/>
          <w:b/>
          <w:color w:val="152033"/>
        </w:rPr>
        <w:t>Assign learning to the people who need it.</w:t>
      </w:r>
      <w:r>
        <w:rPr>
          <w:rFonts w:ascii="Aptos" w:hAnsi="Aptos"/>
          <w:color w:val="152033"/>
        </w:rPr>
        <w:t xml:space="preserve"> Customer administrators can manage learners, groups, assignments, due dates, invitations, reminders, completion, and progress.</w:t>
      </w:r>
    </w:p>
    <w:p>
      <w:pPr>
        <w:spacing w:after="84"/>
        <w:ind w:left="331" w:hanging="259"/>
      </w:pPr>
      <w:r>
        <w:rPr>
          <w:rFonts w:ascii="Aptos" w:hAnsi="Aptos"/>
          <w:b/>
          <w:color w:val="1ECAD3"/>
        </w:rPr>
        <w:t xml:space="preserve">•  </w:t>
      </w:r>
      <w:r>
        <w:rPr>
          <w:rFonts w:ascii="Aptos" w:hAnsi="Aptos"/>
          <w:b/>
          <w:color w:val="152033"/>
        </w:rPr>
        <w:t>Create branded learning environments.</w:t>
      </w:r>
      <w:r>
        <w:rPr>
          <w:rFonts w:ascii="Aptos" w:hAnsi="Aptos"/>
          <w:color w:val="152033"/>
        </w:rPr>
        <w:t xml:space="preserve"> Each customer can operate in a tenant-branded workspace designed around its audience, content, and training program.</w:t>
      </w:r>
    </w:p>
    <w:p>
      <w:pPr>
        <w:spacing w:after="84"/>
        <w:ind w:left="331" w:hanging="259"/>
      </w:pPr>
      <w:r>
        <w:rPr>
          <w:rFonts w:ascii="Aptos" w:hAnsi="Aptos"/>
          <w:b/>
          <w:color w:val="1ECAD3"/>
        </w:rPr>
        <w:t xml:space="preserve">•  </w:t>
      </w:r>
      <w:r>
        <w:rPr>
          <w:rFonts w:ascii="Aptos" w:hAnsi="Aptos"/>
          <w:b/>
          <w:color w:val="152033"/>
        </w:rPr>
        <w:t>Support internal and external learners.</w:t>
      </w:r>
      <w:r>
        <w:rPr>
          <w:rFonts w:ascii="Aptos" w:hAnsi="Aptos"/>
          <w:color w:val="152033"/>
        </w:rPr>
        <w:t xml:space="preserve"> Use the platform for employees as well as customers, partners, dealers, franchisees, and other invited learners.</w:t>
      </w:r>
    </w:p>
    <w:p>
      <w:pPr>
        <w:spacing w:after="84"/>
        <w:ind w:left="331" w:hanging="259"/>
      </w:pPr>
      <w:r>
        <w:rPr>
          <w:rFonts w:ascii="Aptos" w:hAnsi="Aptos"/>
          <w:b/>
          <w:color w:val="1ECAD3"/>
        </w:rPr>
        <w:t xml:space="preserve">•  </w:t>
      </w:r>
      <w:r>
        <w:rPr>
          <w:rFonts w:ascii="Aptos" w:hAnsi="Aptos"/>
          <w:b/>
          <w:color w:val="152033"/>
        </w:rPr>
        <w:t>Control access commercially.</w:t>
      </w:r>
      <w:r>
        <w:rPr>
          <w:rFonts w:ascii="Aptos" w:hAnsi="Aptos"/>
          <w:color w:val="152033"/>
        </w:rPr>
        <w:t xml:space="preserve"> Plans, feature entitlements, seat-aware access, and persona availability support different commercial offerings and customer configurations.</w:t>
      </w:r>
    </w:p>
    <w:p>
      <w:pPr>
        <w:spacing w:after="84"/>
        <w:ind w:left="331" w:hanging="259"/>
      </w:pPr>
      <w:r>
        <w:rPr>
          <w:rFonts w:ascii="Aptos" w:hAnsi="Aptos"/>
          <w:b/>
          <w:color w:val="1ECAD3"/>
        </w:rPr>
        <w:t xml:space="preserve">•  </w:t>
      </w:r>
      <w:r>
        <w:rPr>
          <w:rFonts w:ascii="Aptos" w:hAnsi="Aptos"/>
          <w:b/>
          <w:color w:val="152033"/>
        </w:rPr>
        <w:t>Package Learn-It as an academy around a software or service offering.</w:t>
      </w:r>
      <w:r>
        <w:rPr>
          <w:rFonts w:ascii="Aptos" w:hAnsi="Aptos"/>
          <w:color w:val="152033"/>
        </w:rPr>
        <w:t xml:space="preserve"> Software and service companies can use Learn-It to teach the product, the surrounding business process, and the customer conversations that drive adoption.</w:t>
      </w:r>
    </w:p>
    <w:p>
      <w:pPr>
        <w:spacing w:after="84"/>
        <w:ind w:left="331" w:hanging="259"/>
      </w:pPr>
      <w:r>
        <w:rPr>
          <w:rFonts w:ascii="Aptos" w:hAnsi="Aptos"/>
          <w:b/>
          <w:color w:val="1ECAD3"/>
        </w:rPr>
        <w:t xml:space="preserve">•  </w:t>
      </w:r>
      <w:r>
        <w:rPr>
          <w:rFonts w:ascii="Aptos" w:hAnsi="Aptos"/>
          <w:b/>
          <w:color w:val="152033"/>
        </w:rPr>
        <w:t>Make progress visible.</w:t>
      </w:r>
      <w:r>
        <w:rPr>
          <w:rFonts w:ascii="Aptos" w:hAnsi="Aptos"/>
          <w:color w:val="152033"/>
        </w:rPr>
        <w:t xml:space="preserve"> Administrators can see completion and learner progress instead of relying only on attendance or course publication.</w:t>
      </w:r>
    </w:p>
    <w:p>
      <w:pPr>
        <w:pStyle w:val="MirAIEyebrow"/>
      </w:pPr>
      <w:r>
        <w:rPr>
          <w:rFonts w:ascii="Aptos" w:hAnsi="Aptos"/>
          <w:b/>
          <w:color w:val="1ECAD3"/>
        </w:rPr>
        <w:t>DIFFERENTIATION</w:t>
      </w:r>
    </w:p>
    <w:p>
      <w:pPr>
        <w:pStyle w:val="Heading1"/>
      </w:pPr>
      <w:r>
        <w:t>Why the story is stronger than 'another LMS'</w:t>
      </w:r>
    </w:p>
    <w:p>
      <w:pPr>
        <w:spacing w:after="200"/>
      </w:pPr>
      <w:r>
        <w:rPr>
          <w:rFonts w:ascii="Aptos" w:hAnsi="Aptos"/>
          <w:color w:val="5B6574"/>
          <w:sz w:val="21"/>
        </w:rPr>
        <w:t>The most defensible marketing message is not that Learn-It stores courses. It is that Learn-It connects approved knowledge, assessment, realistic practice, and administration so organizations can move from course completion toward demonstrated readiness.</w:t>
      </w:r>
    </w:p>
    <w:p>
      <w:pPr>
        <w:spacing w:after="84"/>
        <w:ind w:left="331" w:hanging="259"/>
      </w:pPr>
      <w:r>
        <w:rPr>
          <w:rFonts w:ascii="Aptos" w:hAnsi="Aptos"/>
          <w:b/>
          <w:color w:val="1ECAD3"/>
        </w:rPr>
        <w:t xml:space="preserve">•  </w:t>
      </w:r>
      <w:r>
        <w:rPr>
          <w:rFonts w:ascii="Aptos" w:hAnsi="Aptos"/>
        </w:rPr>
        <w:t>Knowledge is grounded in the organization's approved material.</w:t>
      </w:r>
    </w:p>
    <w:p>
      <w:pPr>
        <w:spacing w:after="84"/>
        <w:ind w:left="331" w:hanging="259"/>
      </w:pPr>
      <w:r>
        <w:rPr>
          <w:rFonts w:ascii="Aptos" w:hAnsi="Aptos"/>
          <w:b/>
          <w:color w:val="1ECAD3"/>
        </w:rPr>
        <w:t xml:space="preserve">•  </w:t>
      </w:r>
      <w:r>
        <w:rPr>
          <w:rFonts w:ascii="Aptos" w:hAnsi="Aptos"/>
        </w:rPr>
        <w:t>Assessment is connected to the material learners were actually taught.</w:t>
      </w:r>
    </w:p>
    <w:p>
      <w:pPr>
        <w:spacing w:after="84"/>
        <w:ind w:left="331" w:hanging="259"/>
      </w:pPr>
      <w:r>
        <w:rPr>
          <w:rFonts w:ascii="Aptos" w:hAnsi="Aptos"/>
          <w:b/>
          <w:color w:val="1ECAD3"/>
        </w:rPr>
        <w:t xml:space="preserve">•  </w:t>
      </w:r>
      <w:r>
        <w:rPr>
          <w:rFonts w:ascii="Aptos" w:hAnsi="Aptos"/>
        </w:rPr>
        <w:t>AI Persona Calls add realistic practice that adapts to the learner instead of following a fixed role-play script.</w:t>
      </w:r>
    </w:p>
    <w:p>
      <w:pPr>
        <w:spacing w:after="84"/>
        <w:ind w:left="331" w:hanging="259"/>
      </w:pPr>
      <w:r>
        <w:rPr>
          <w:rFonts w:ascii="Aptos" w:hAnsi="Aptos"/>
          <w:b/>
          <w:color w:val="1ECAD3"/>
        </w:rPr>
        <w:t xml:space="preserve">•  </w:t>
      </w:r>
      <w:r>
        <w:rPr>
          <w:rFonts w:ascii="Aptos" w:hAnsi="Aptos"/>
        </w:rPr>
        <w:t>Customer administrators can assign, manage, and monitor training from the same platform.</w:t>
      </w:r>
    </w:p>
    <w:p>
      <w:pPr>
        <w:spacing w:after="84"/>
        <w:ind w:left="331" w:hanging="259"/>
      </w:pPr>
      <w:r>
        <w:rPr>
          <w:rFonts w:ascii="Aptos" w:hAnsi="Aptos"/>
          <w:b/>
          <w:color w:val="1ECAD3"/>
        </w:rPr>
        <w:t xml:space="preserve">•  </w:t>
      </w:r>
      <w:r>
        <w:rPr>
          <w:rFonts w:ascii="Aptos" w:hAnsi="Aptos"/>
        </w:rPr>
        <w:t>The same platform can serve internal employees and external audiences such as customers, partners, dealers, and software users.</w:t>
      </w:r>
    </w:p>
    <w:p>
      <w:pPr>
        <w:spacing w:after="84"/>
        <w:ind w:left="331" w:hanging="259"/>
      </w:pPr>
      <w:r>
        <w:rPr>
          <w:rFonts w:ascii="Aptos" w:hAnsi="Aptos"/>
          <w:b/>
          <w:color w:val="1ECAD3"/>
        </w:rPr>
        <w:t xml:space="preserve">•  </w:t>
      </w:r>
      <w:r>
        <w:rPr>
          <w:rFonts w:ascii="Aptos" w:hAnsi="Aptos"/>
        </w:rPr>
        <w:t>Tenant branding, commercial entitlements, seats, and feature controls support packaged customer Academy offerings.</w:t>
      </w:r>
    </w:p>
    <w:p>
      <w:pPr>
        <w:pStyle w:val="MirAIEyebrow"/>
      </w:pPr>
      <w:r>
        <w:rPr>
          <w:rFonts w:ascii="Aptos" w:hAnsi="Aptos"/>
          <w:b/>
          <w:color w:val="1ECAD3"/>
        </w:rPr>
        <w:t>WHO TO SELL TO</w:t>
      </w:r>
    </w:p>
    <w:p>
      <w:pPr>
        <w:pStyle w:val="Heading1"/>
      </w:pPr>
      <w:r>
        <w:t>Best-fit buyers and sponsors</w:t>
      </w:r>
    </w:p>
    <w:p>
      <w:pPr>
        <w:spacing w:after="84"/>
        <w:ind w:left="331" w:hanging="259"/>
      </w:pPr>
      <w:r>
        <w:rPr>
          <w:rFonts w:ascii="Aptos" w:hAnsi="Aptos"/>
          <w:b/>
          <w:color w:val="1ECAD3"/>
        </w:rPr>
        <w:t xml:space="preserve">•  </w:t>
      </w:r>
      <w:r>
        <w:rPr>
          <w:rFonts w:ascii="Aptos" w:hAnsi="Aptos"/>
        </w:rPr>
        <w:t>Learning &amp; Development / Training leaders</w:t>
      </w:r>
    </w:p>
    <w:p>
      <w:pPr>
        <w:spacing w:after="84"/>
        <w:ind w:left="331" w:hanging="259"/>
      </w:pPr>
      <w:r>
        <w:rPr>
          <w:rFonts w:ascii="Aptos" w:hAnsi="Aptos"/>
          <w:b/>
          <w:color w:val="1ECAD3"/>
        </w:rPr>
        <w:t xml:space="preserve">•  </w:t>
      </w:r>
      <w:r>
        <w:rPr>
          <w:rFonts w:ascii="Aptos" w:hAnsi="Aptos"/>
        </w:rPr>
        <w:t>Human Resources and People Operations</w:t>
      </w:r>
    </w:p>
    <w:p>
      <w:pPr>
        <w:spacing w:after="84"/>
        <w:ind w:left="331" w:hanging="259"/>
      </w:pPr>
      <w:r>
        <w:rPr>
          <w:rFonts w:ascii="Aptos" w:hAnsi="Aptos"/>
          <w:b/>
          <w:color w:val="1ECAD3"/>
        </w:rPr>
        <w:t xml:space="preserve">•  </w:t>
      </w:r>
      <w:r>
        <w:rPr>
          <w:rFonts w:ascii="Aptos" w:hAnsi="Aptos"/>
        </w:rPr>
        <w:t>Operations leaders with high-turnover or process-intensive teams</w:t>
      </w:r>
    </w:p>
    <w:p>
      <w:pPr>
        <w:spacing w:after="84"/>
        <w:ind w:left="331" w:hanging="259"/>
      </w:pPr>
      <w:r>
        <w:rPr>
          <w:rFonts w:ascii="Aptos" w:hAnsi="Aptos"/>
          <w:b/>
          <w:color w:val="1ECAD3"/>
        </w:rPr>
        <w:t xml:space="preserve">•  </w:t>
      </w:r>
      <w:r>
        <w:rPr>
          <w:rFonts w:ascii="Aptos" w:hAnsi="Aptos"/>
        </w:rPr>
        <w:t>Compliance, Safety, Risk, or Quality leaders</w:t>
      </w:r>
    </w:p>
    <w:p>
      <w:pPr>
        <w:spacing w:after="84"/>
        <w:ind w:left="331" w:hanging="259"/>
      </w:pPr>
      <w:r>
        <w:rPr>
          <w:rFonts w:ascii="Aptos" w:hAnsi="Aptos"/>
          <w:b/>
          <w:color w:val="1ECAD3"/>
        </w:rPr>
        <w:t xml:space="preserve">•  </w:t>
      </w:r>
      <w:r>
        <w:rPr>
          <w:rFonts w:ascii="Aptos" w:hAnsi="Aptos"/>
        </w:rPr>
        <w:t>Sales Enablement and Revenue Operations</w:t>
      </w:r>
    </w:p>
    <w:p>
      <w:pPr>
        <w:spacing w:after="84"/>
        <w:ind w:left="331" w:hanging="259"/>
      </w:pPr>
      <w:r>
        <w:rPr>
          <w:rFonts w:ascii="Aptos" w:hAnsi="Aptos"/>
          <w:b/>
          <w:color w:val="1ECAD3"/>
        </w:rPr>
        <w:t xml:space="preserve">•  </w:t>
      </w:r>
      <w:r>
        <w:rPr>
          <w:rFonts w:ascii="Aptos" w:hAnsi="Aptos"/>
        </w:rPr>
        <w:t>Customer Support / Contact Center leadership</w:t>
      </w:r>
    </w:p>
    <w:p>
      <w:pPr>
        <w:spacing w:after="84"/>
        <w:ind w:left="331" w:hanging="259"/>
      </w:pPr>
      <w:r>
        <w:rPr>
          <w:rFonts w:ascii="Aptos" w:hAnsi="Aptos"/>
          <w:b/>
          <w:color w:val="1ECAD3"/>
        </w:rPr>
        <w:t xml:space="preserve">•  </w:t>
      </w:r>
      <w:r>
        <w:rPr>
          <w:rFonts w:ascii="Aptos" w:hAnsi="Aptos"/>
        </w:rPr>
        <w:t>Customer Success and Customer Education</w:t>
      </w:r>
    </w:p>
    <w:p>
      <w:pPr>
        <w:spacing w:after="84"/>
        <w:ind w:left="331" w:hanging="259"/>
      </w:pPr>
      <w:r>
        <w:rPr>
          <w:rFonts w:ascii="Aptos" w:hAnsi="Aptos"/>
          <w:b/>
          <w:color w:val="1ECAD3"/>
        </w:rPr>
        <w:t xml:space="preserve">•  </w:t>
      </w:r>
      <w:r>
        <w:rPr>
          <w:rFonts w:ascii="Aptos" w:hAnsi="Aptos"/>
        </w:rPr>
        <w:t>Software and service companies building a customer or partner academy</w:t>
      </w:r>
    </w:p>
    <w:p>
      <w:pPr>
        <w:spacing w:after="84"/>
        <w:ind w:left="331" w:hanging="259"/>
      </w:pPr>
      <w:r>
        <w:rPr>
          <w:rFonts w:ascii="Aptos" w:hAnsi="Aptos"/>
          <w:b/>
          <w:color w:val="1ECAD3"/>
        </w:rPr>
        <w:t xml:space="preserve">•  </w:t>
      </w:r>
      <w:r>
        <w:rPr>
          <w:rFonts w:ascii="Aptos" w:hAnsi="Aptos"/>
        </w:rPr>
        <w:t>Franchise, dealer, reseller, or partner enablement leaders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rPr>
          <w:cantSplit/>
        </w:trPr>
        <w:tc>
          <w:tcPr>
            <w:tcW w:type="dxa" w:w="10224"/>
            <w:shd w:fill="0B1220"/>
            <w:tcMar>
              <w:top w:w="230" w:type="dxa"/>
              <w:start w:w="260" w:type="dxa"/>
              <w:bottom w:w="230" w:type="dxa"/>
              <w:end w:w="260" w:type="dxa"/>
            </w:tcMar>
          </w:tcPr>
          <w:p>
            <w:pPr>
              <w:jc w:val="center"/>
            </w:pPr>
            <w:r>
              <w:rPr>
                <w:rFonts w:ascii="Aptos Display" w:hAnsi="Aptos Display"/>
                <w:b/>
                <w:color w:val="FFFFFF"/>
                <w:sz w:val="28"/>
              </w:rPr>
              <w:t>See what Learn-It could look like for your organization.</w:t>
            </w:r>
          </w:p>
          <w:p>
            <w:pPr>
              <w:jc w:val="center"/>
            </w:pPr>
            <w:r>
              <w:rPr>
                <w:rFonts w:ascii="Aptos" w:hAnsi="Aptos"/>
                <w:color w:val="D6DDEA"/>
                <w:sz w:val="19"/>
              </w:rPr>
              <w:t>Explore the platform, then request access to the guided Learn-It demo.</w:t>
            </w:r>
          </w:p>
          <w:p>
            <w:pPr>
              <w:jc w:val="center"/>
            </w:pPr>
            <w:hyperlink r:id="rId10">
              <w:r>
                <w:rPr>
                  <w:color w:val="1ECAD3"/>
                  <w:b/>
                  <w:sz w:val="19"/>
                  <w:szCs w:val="19"/>
                  <w:rFonts w:ascii="Aptos" w:hAnsi="Aptos"/>
                </w:rPr>
                <w:t>Website: www.mirai-tek.com</w:t>
              </w:r>
            </w:hyperlink>
            <w:r>
              <w:rPr>
                <w:rFonts w:ascii="Aptos" w:hAnsi="Aptos"/>
              </w:rPr>
              <w:t xml:space="preserve">     </w:t>
            </w:r>
            <w:hyperlink r:id="rId11">
              <w:r>
                <w:rPr>
                  <w:color w:val="75A7FF"/>
                  <w:b/>
                  <w:sz w:val="19"/>
                  <w:szCs w:val="19"/>
                  <w:rFonts w:ascii="Aptos" w:hAnsi="Aptos"/>
                </w:rPr>
                <w:t>Demo: Request a Learn-It Demo</w:t>
              </w:r>
            </w:hyperlink>
            <w:r>
              <w:rPr>
                <w:rFonts w:ascii="Aptos" w:hAnsi="Aptos"/>
              </w:rPr>
              <w:t xml:space="preserve">     </w:t>
            </w:r>
            <w:hyperlink r:id="rId12">
              <w:r>
                <w:rPr>
                  <w:color w:val="D6DDEA"/>
                  <w:sz w:val="19"/>
                  <w:szCs w:val="19"/>
                  <w:rFonts w:ascii="Aptos" w:hAnsi="Aptos"/>
                </w:rPr>
                <w:t>hello@mirai-tek.com</w:t>
              </w:r>
            </w:hyperlink>
          </w:p>
        </w:tc>
      </w:tr>
    </w:tbl>
    <w:p>
      <w:pPr>
        <w:spacing w:before="200" w:after="80"/>
        <w:jc w:val="center"/>
        <w:keepNext/>
      </w:pPr>
      <w:r>
        <w:rPr>
          <w:rFonts w:ascii="Aptos" w:hAnsi="Aptos"/>
          <w:b/>
          <w:color w:val="5B6574"/>
          <w:sz w:val="17"/>
        </w:rPr>
        <w:t>SCAN OR CLICK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08"/>
        <w:gridCol w:w="4608"/>
      </w:tblGrid>
      <w:tr>
        <w:trPr>
          <w:cantSplit/>
        </w:trPr>
        <w:tc>
          <w:tcPr>
            <w:tcW w:type="dxa" w:w="5112"/>
            <w:shd w:fill="F4F7FB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658368" cy="658368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website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368" cy="6583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hyperlink r:id="rId10">
              <w:r>
                <w:rPr>
                  <w:color w:val="246BFD"/>
                  <w:b/>
                  <w:sz w:val="18"/>
                  <w:szCs w:val="18"/>
                  <w:rFonts w:ascii="Aptos" w:hAnsi="Aptos"/>
                </w:rPr>
                <w:t>MirAI Technologies Website</w:t>
              </w:r>
            </w:hyperlink>
          </w:p>
        </w:tc>
        <w:tc>
          <w:tcPr>
            <w:tcW w:type="dxa" w:w="5112"/>
            <w:shd w:fill="F4F7FB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single" w:sz="6" w:color="DCE3EE"/>
              <w:left w:val="single" w:sz="6" w:color="DCE3EE"/>
              <w:bottom w:val="single" w:sz="6" w:color="DCE3EE"/>
              <w:right w:val="single" w:sz="6" w:color="DCE3EE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658368" cy="658368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demo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368" cy="6583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hyperlink r:id="rId11">
              <w:r>
                <w:rPr>
                  <w:color w:val="246BFD"/>
                  <w:b/>
                  <w:sz w:val="18"/>
                  <w:szCs w:val="18"/>
                  <w:rFonts w:ascii="Aptos" w:hAnsi="Aptos"/>
                </w:rPr>
                <w:t>Request a Learn-It Demo</w:t>
              </w:r>
            </w:hyperlink>
          </w:p>
        </w:tc>
      </w:tr>
    </w:tbl>
    <w:sectPr w:rsidR="00FC693F" w:rsidRPr="0006063C" w:rsidSect="00034616">
      <w:headerReference w:type="default" r:id="rId9"/>
      <w:footerReference w:type="default" r:id="rId15"/>
      <w:pgSz w:w="12240" w:h="15840"/>
      <w:pgMar w:top="835" w:right="1008" w:bottom="835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3024"/>
      <w:gridCol w:w="4104"/>
      <w:gridCol w:w="3024"/>
    </w:tblGrid>
    <w:tr>
      <w:tc>
        <w:tcPr>
          <w:tcW w:type="dxa" w:w="3384"/>
          <w:tcMar>
            <w:top w:w="60" w:type="dxa"/>
            <w:start w:w="0" w:type="dxa"/>
            <w:bottom w:w="0" w:type="dxa"/>
            <w:end w:w="0" w:type="dxa"/>
          </w:tcMar>
          <w:tcBorders>
            <w:top w:val="single" w:sz="8" w:color="DCE3EE"/>
          </w:tcBorders>
        </w:tcPr>
        <w:p>
          <w:pPr>
            <w:jc w:val="left"/>
          </w:pPr>
          <w:hyperlink r:id="rId1">
            <w:r>
              <w:rPr>
                <w:color w:val="5B6574"/>
                <w:sz w:val="15"/>
                <w:szCs w:val="15"/>
                <w:rFonts w:ascii="Aptos" w:hAnsi="Aptos"/>
              </w:rPr>
              <w:t>mirai-tek.com</w:t>
            </w:r>
          </w:hyperlink>
        </w:p>
      </w:tc>
      <w:tc>
        <w:tcPr>
          <w:tcW w:type="dxa" w:w="3384"/>
          <w:tcMar>
            <w:top w:w="60" w:type="dxa"/>
            <w:start w:w="0" w:type="dxa"/>
            <w:bottom w:w="0" w:type="dxa"/>
            <w:end w:w="0" w:type="dxa"/>
          </w:tcMar>
          <w:tcBorders>
            <w:top w:val="single" w:sz="8" w:color="DCE3EE"/>
          </w:tcBorders>
        </w:tcPr>
        <w:p>
          <w:pPr>
            <w:jc w:val="center"/>
          </w:pPr>
          <w:r>
            <w:rPr>
              <w:rFonts w:ascii="Aptos" w:hAnsi="Aptos"/>
              <w:color w:val="5B6574"/>
              <w:sz w:val="15"/>
            </w:rPr>
            <w:t>Applied AI for serious work.</w:t>
          </w:r>
        </w:p>
      </w:tc>
      <w:tc>
        <w:tcPr>
          <w:tcW w:type="dxa" w:w="3384"/>
          <w:tcMar>
            <w:top w:w="60" w:type="dxa"/>
            <w:start w:w="0" w:type="dxa"/>
            <w:bottom w:w="0" w:type="dxa"/>
            <w:end w:w="0" w:type="dxa"/>
          </w:tcMar>
          <w:tcBorders>
            <w:top w:val="single" w:sz="8" w:color="DCE3EE"/>
          </w:tcBorders>
        </w:tcPr>
        <w:p>
          <w:pPr>
            <w:jc w:val="right"/>
          </w:pPr>
          <w:hyperlink r:id="rId2">
            <w:r>
              <w:rPr>
                <w:color w:val="246BFD"/>
                <w:b/>
                <w:sz w:val="15"/>
                <w:szCs w:val="15"/>
                <w:rFonts w:ascii="Aptos" w:hAnsi="Aptos"/>
              </w:rPr>
              <w:t>Request a Demo</w:t>
            </w:r>
          </w:hyperlink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624"/>
      <w:gridCol w:w="3528"/>
    </w:tblGrid>
    <w:tr>
      <w:tc>
        <w:tcPr>
          <w:tcW w:type="dxa" w:w="5076"/>
          <w:tcMar>
            <w:top w:w="0" w:type="dxa"/>
            <w:start w:w="0" w:type="dxa"/>
            <w:bottom w:w="50" w:type="dxa"/>
            <w:end w:w="0" w:type="dxa"/>
          </w:tcMar>
          <w:tcBorders>
            <w:bottom w:val="single" w:sz="10" w:color="DCE3EE"/>
          </w:tcBorders>
        </w:tcPr>
        <w:p>
          <w:pPr>
            <w:jc w:val="left"/>
          </w:pPr>
          <w:r>
            <w:rPr>
              <w:rFonts w:ascii="Aptos Display" w:hAnsi="Aptos Display"/>
              <w:b/>
              <w:color w:val="0B1220"/>
              <w:sz w:val="22"/>
            </w:rPr>
            <w:t>Mir</w:t>
          </w:r>
          <w:r>
            <w:rPr>
              <w:rFonts w:ascii="Aptos Display" w:hAnsi="Aptos Display"/>
              <w:b/>
              <w:color w:val="1ECAD3"/>
              <w:sz w:val="22"/>
            </w:rPr>
            <w:t>AI</w:t>
          </w:r>
          <w:r>
            <w:rPr>
              <w:rFonts w:ascii="Aptos" w:hAnsi="Aptos"/>
              <w:b/>
              <w:color w:val="5B6574"/>
              <w:sz w:val="15"/>
            </w:rPr>
            <w:t xml:space="preserve">  TECHNOLOGIES</w:t>
          </w:r>
        </w:p>
      </w:tc>
      <w:tc>
        <w:tcPr>
          <w:tcW w:type="dxa" w:w="5076"/>
          <w:tcMar>
            <w:top w:w="0" w:type="dxa"/>
            <w:start w:w="0" w:type="dxa"/>
            <w:bottom w:w="50" w:type="dxa"/>
            <w:end w:w="0" w:type="dxa"/>
          </w:tcMar>
          <w:tcBorders>
            <w:bottom w:val="single" w:sz="10" w:color="DCE3EE"/>
          </w:tcBorders>
        </w:tcPr>
        <w:p>
          <w:pPr>
            <w:jc w:val="right"/>
          </w:pPr>
          <w:r>
            <w:rPr>
              <w:rFonts w:ascii="Aptos" w:hAnsi="Aptos"/>
              <w:b/>
              <w:color w:val="246BFD"/>
              <w:sz w:val="18"/>
            </w:rPr>
            <w:t>LEARN-IT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10" w:line="254" w:lineRule="auto"/>
    </w:pPr>
    <w:rPr>
      <w:rFonts w:ascii="Aptos" w:hAnsi="Aptos"/>
      <w:color w:val="152033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B1220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246BFD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6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152033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0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0B1220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irAIEyebrow">
    <w:name w:val="MirAI Eyebrow"/>
    <w:pPr>
      <w:keepNext/>
      <w:spacing w:after="80"/>
    </w:pPr>
    <w:rPr>
      <w:rFonts w:ascii="Aptos" w:hAnsi="Aptos"/>
      <w:b/>
      <w:color w:val="1ECAD3"/>
      <w:sz w:val="17"/>
    </w:rPr>
  </w:style>
  <w:style w:type="paragraph" w:customStyle="1" w:styleId="MirAIPullQuote">
    <w:name w:val="MirAI Pull Quote"/>
    <w:pPr>
      <w:spacing w:before="140" w:after="160"/>
    </w:pPr>
    <w:rPr>
      <w:rFonts w:ascii="Aptos Display" w:hAnsi="Aptos Display"/>
      <w:b/>
      <w:color w:val="0B1220"/>
      <w:sz w:val="32"/>
    </w:rPr>
  </w:style>
  <w:style w:type="paragraph" w:customStyle="1" w:styleId="MirAISmall">
    <w:name w:val="MirAI Small"/>
    <w:pPr>
      <w:spacing w:after="60"/>
    </w:pPr>
    <w:rPr>
      <w:rFonts w:ascii="Aptos" w:hAnsi="Aptos"/>
      <w:color w:val="5B6574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yperlink" Target="https://www.mirai-tek.com" TargetMode="External"/><Relationship Id="rId11" Type="http://schemas.openxmlformats.org/officeDocument/2006/relationships/hyperlink" Target="https://www.mirai-tek.com/products/learn-it" TargetMode="External"/><Relationship Id="rId12" Type="http://schemas.openxmlformats.org/officeDocument/2006/relationships/hyperlink" Target="mailto:hello@mirai-tek.com" TargetMode="External"/><Relationship Id="rId13" Type="http://schemas.openxmlformats.org/officeDocument/2006/relationships/image" Target="media/image1.png"/><Relationship Id="rId14" Type="http://schemas.openxmlformats.org/officeDocument/2006/relationships/image" Target="media/image2.png"/><Relationship Id="rId15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www.mirai-tek.com" TargetMode="External"/><Relationship Id="rId2" Type="http://schemas.openxmlformats.org/officeDocument/2006/relationships/hyperlink" Target="https://www.mirai-tek.com/products/learn-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