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080"/>
            <w:shd w:fill="0B1220"/>
            <w:tcMar>
              <w:top w:w="560" w:type="dxa"/>
              <w:start w:w="420" w:type="dxa"/>
              <w:bottom w:w="560" w:type="dxa"/>
              <w:end w:w="420" w:type="dxa"/>
            </w:tcMar>
            <w:vAlign w:val="center"/>
          </w:tcPr>
          <w:p>
            <w:pPr>
              <w:pStyle w:val="MirAIEyebrow"/>
              <w:jc w:val="left"/>
            </w:pPr>
            <w:r>
              <w:rPr>
                <w:rFonts w:ascii="Aptos" w:hAnsi="Aptos"/>
                <w:b/>
                <w:color w:val="1ECAD3"/>
                <w:sz w:val="18"/>
              </w:rPr>
              <w:t>MIRAI TECHNOLOGIES  /  LEARN-IT</w:t>
            </w:r>
          </w:p>
          <w:p>
            <w:pPr>
              <w:spacing w:before="640" w:after="120"/>
            </w:pPr>
            <w:r>
              <w:rPr>
                <w:rFonts w:ascii="Aptos Display" w:hAnsi="Aptos Display"/>
                <w:b/>
                <w:color w:val="FFFFFF"/>
                <w:sz w:val="60"/>
              </w:rPr>
              <w:t>Implementation Scenarios</w:t>
            </w:r>
          </w:p>
          <w:p>
            <w:pPr>
              <w:spacing w:after="360"/>
            </w:pPr>
            <w:r>
              <w:rPr>
                <w:rFonts w:ascii="Aptos Display" w:hAnsi="Aptos Display"/>
                <w:color w:val="CFD7E7"/>
                <w:sz w:val="28"/>
              </w:rPr>
              <w:t>Where Learn-It can create practical value across workforce, customer, partner, and compliance training</w:t>
            </w:r>
          </w:p>
          <w:p>
            <w:pPr>
              <w:spacing w:before="440"/>
            </w:pPr>
            <w:r>
              <w:rPr>
                <w:rFonts w:ascii="Aptos" w:hAnsi="Aptos"/>
                <w:b/>
                <w:color w:val="1ECAD3"/>
                <w:sz w:val="20"/>
              </w:rPr>
              <w:t>FROM COMPLETION TO READINESS</w:t>
            </w:r>
          </w:p>
          <w:p>
            <w:pPr>
              <w:spacing w:after="440"/>
            </w:pPr>
            <w:r>
              <w:rPr>
                <w:rFonts w:ascii="Aptos" w:hAnsi="Aptos"/>
                <w:color w:val="FFFFFF"/>
                <w:sz w:val="22"/>
              </w:rPr>
              <w:t>Turn approved company knowledge into structured learning, grounded assessment, and realistic AI-powered practice.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096"/>
              <w:gridCol w:w="3816"/>
            </w:tblGrid>
            <w:tr>
              <w:tc>
                <w:tcPr>
                  <w:tcW w:type="dxa" w:w="5040"/>
                  <w:tcMar>
                    <w:top w:w="140" w:type="dxa"/>
                    <w:start w:w="180" w:type="dxa"/>
                    <w:bottom w:w="140" w:type="dxa"/>
                    <w:end w:w="180" w:type="dxa"/>
                  </w:tcMar>
                  <w:tcBorders>
                    <w:top w:val="single" w:sz="10" w:color="35445C"/>
                    <w:left w:val="single" w:sz="10" w:color="35445C"/>
                    <w:bottom w:val="single" w:sz="10" w:color="35445C"/>
                    <w:right w:val="single" w:sz="10" w:color="35445C"/>
                  </w:tcBorders>
                  <w:shd w:fill="17243A"/>
                </w:tcPr>
                <w:p>
                  <w:pPr>
                    <w:jc w:val="center"/>
                  </w:pPr>
                  <w:hyperlink r:id="rId10">
                    <w:r>
                      <w:rPr>
                        <w:color w:val="FFFFFF"/>
                        <w:b/>
                        <w:sz w:val="20"/>
                        <w:szCs w:val="20"/>
                        <w:rFonts w:ascii="Aptos" w:hAnsi="Aptos"/>
                      </w:rPr>
                      <w:t>Visit MirAI</w:t>
                    </w:r>
                  </w:hyperlink>
                </w:p>
              </w:tc>
              <w:tc>
                <w:tcPr>
                  <w:tcW w:type="dxa" w:w="5040"/>
                  <w:tcMar>
                    <w:top w:w="140" w:type="dxa"/>
                    <w:start w:w="180" w:type="dxa"/>
                    <w:bottom w:w="140" w:type="dxa"/>
                    <w:end w:w="180" w:type="dxa"/>
                  </w:tcMar>
                  <w:tcBorders>
                    <w:top w:val="single" w:sz="10" w:color="35445C"/>
                    <w:left w:val="single" w:sz="10" w:color="35445C"/>
                    <w:bottom w:val="single" w:sz="10" w:color="35445C"/>
                    <w:right w:val="single" w:sz="10" w:color="35445C"/>
                  </w:tcBorders>
                  <w:shd w:fill="246BFD"/>
                </w:tcPr>
                <w:p>
                  <w:pPr>
                    <w:jc w:val="center"/>
                  </w:pPr>
                  <w:hyperlink r:id="rId11">
                    <w:r>
                      <w:rPr>
                        <w:color w:val="FFFFFF"/>
                        <w:b/>
                        <w:sz w:val="20"/>
                        <w:szCs w:val="20"/>
                        <w:rFonts w:ascii="Aptos" w:hAnsi="Aptos"/>
                      </w:rPr>
                      <w:t>Request a Learn-It Demo</w:t>
                    </w:r>
                  </w:hyperlink>
                </w:p>
              </w:tc>
            </w:tr>
          </w:tbl>
          <w:p/>
        </w:tc>
      </w:tr>
    </w:tbl>
    <w:p>
      <w:pPr>
        <w:spacing w:before="100"/>
        <w:jc w:val="right"/>
      </w:pPr>
      <w:r>
        <w:rPr>
          <w:rFonts w:ascii="Aptos" w:hAnsi="Aptos"/>
          <w:color w:val="5B6574"/>
          <w:sz w:val="16"/>
        </w:rPr>
        <w:t>MirAI Technologies  |  September 2026</w:t>
      </w:r>
    </w:p>
    <w:p>
      <w:r>
        <w:br w:type="page"/>
      </w:r>
    </w:p>
    <w:p>
      <w:pPr>
        <w:pStyle w:val="MirAIEyebrow"/>
      </w:pPr>
      <w:r>
        <w:rPr>
          <w:rFonts w:ascii="Aptos" w:hAnsi="Aptos"/>
          <w:b/>
          <w:color w:val="1ECAD3"/>
        </w:rPr>
        <w:t>USE-CASE GUIDE</w:t>
      </w:r>
    </w:p>
    <w:p>
      <w:pPr>
        <w:pStyle w:val="Heading1"/>
      </w:pPr>
      <w:r>
        <w:t>Start with the business problem</w:t>
      </w:r>
    </w:p>
    <w:p>
      <w:pPr>
        <w:spacing w:after="200"/>
      </w:pPr>
      <w:r>
        <w:rPr>
          <w:rFonts w:ascii="Aptos" w:hAnsi="Aptos"/>
          <w:color w:val="5B6574"/>
          <w:sz w:val="21"/>
        </w:rPr>
        <w:t>Learn-It is industry-neutral. The strongest implementations begin with a specific operating problem, the people who need to perform differently, the approved knowledge they need, and a measurable definition of readiness.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3"/>
        <w:gridCol w:w="9720"/>
      </w:tblGrid>
      <w:tr>
        <w:trPr>
          <w:cantSplit/>
        </w:trPr>
        <w:tc>
          <w:tcPr>
            <w:tcW w:type="dxa" w:w="5112"/>
            <w:shd w:fill="246BF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12"/>
            <w:shd w:fill="EAF1FF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r>
              <w:rPr>
                <w:rFonts w:ascii="Aptos" w:hAnsi="Aptos"/>
                <w:b/>
                <w:color w:val="0B1220"/>
                <w:sz w:val="22"/>
              </w:rPr>
              <w:t>Recommended sales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9"/>
              </w:rPr>
              <w:t>Lead with the customer's operational pain - turnover, changing procedures, compliance exposure, inconsistent conversations, slow product adoption, or repeated trainer effort - then show how Learn-It applies the same core platform to that problem.</w:t>
            </w:r>
          </w:p>
        </w:tc>
      </w:tr>
    </w:tbl>
    <w:p>
      <w:pPr>
        <w:spacing w:after="20"/>
      </w:pP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01</w:t>
      </w:r>
      <w:r>
        <w:rPr>
          <w:rFonts w:ascii="Aptos Display" w:hAnsi="Aptos Display"/>
          <w:b/>
          <w:color w:val="0B1220"/>
          <w:sz w:val="26"/>
        </w:rPr>
        <w:t xml:space="preserve">  High attrition / frequent hiring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Turnover forces managers and experienced employees to repeat the same onboarding, while training quality varies by location, shift, or trainer.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Capture approved procedures, role expectations, and common scenarios once; assign the same structured learning to each new hire; use assessments and Persona Calls to confirm readiness.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More consistent onboarding, less repeated trainer effort, and clearer visibility into who is ready for independent work.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high-turnover role, the first 30-60 days of knowledge, one knowledge assessment, and one realistic customer or supervisor scenario.</w:t>
            </w:r>
          </w:p>
        </w:tc>
      </w:tr>
    </w:tbl>
    <w:p>
      <w:pPr>
        <w:spacing w:after="40"/>
      </w:pP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02</w:t>
      </w:r>
      <w:r>
        <w:rPr>
          <w:rFonts w:ascii="Aptos Display" w:hAnsi="Aptos Display"/>
          <w:b/>
          <w:color w:val="0B1220"/>
          <w:sz w:val="26"/>
        </w:rPr>
        <w:t xml:space="preserve">  Regular updates to products, policies, or procedures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Training content becomes stale when products, policies, systems, pricing, processes, or release guidance changes regularly.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Update the source knowledge and affected modules, then assign refreshed learning to the roles that need the change and assess understanding.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A more repeatable way to keep operational training aligned to the business as it changes.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Choose one recurring update process - for example monthly product changes or quarterly policy updates - and build a repeatable update-and-assignment workflow.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03</w:t>
      </w:r>
      <w:r>
        <w:rPr>
          <w:rFonts w:ascii="Aptos Display" w:hAnsi="Aptos Display"/>
          <w:b/>
          <w:color w:val="0B1220"/>
          <w:sz w:val="26"/>
        </w:rPr>
        <w:t xml:space="preserve">  Compliance and required training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Organizations may need people to complete policy, safety, regulatory, privacy, ethics, security, or process training - but completion alone does not always show understanding.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Build training from approved compliance material, define passing requirements, assign it to the required audience, and use scenario practice where application and judgment matter.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Better evidence of understanding and a structured path for learners who need another attempt.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required policy area with approved source material, a knowledge assessment, retake rules, and an optional scenario-based application check.</w:t>
            </w:r>
          </w:p>
        </w:tc>
      </w:tr>
    </w:tbl>
    <w:p>
      <w:pPr>
        <w:spacing w:after="40"/>
      </w:pP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04</w:t>
      </w:r>
      <w:r>
        <w:rPr>
          <w:rFonts w:ascii="Aptos Display" w:hAnsi="Aptos Display"/>
          <w:b/>
          <w:color w:val="0B1220"/>
          <w:sz w:val="26"/>
        </w:rPr>
        <w:t xml:space="preserve">  New employee onboarding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New hires receive a large amount of information while simultaneously learning the company, role, systems, and expectations.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Create a role-based onboarding path with concise modules, due dates, assessments, and practice scenarios tied to the first weeks of the job.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A more focused onboarding experience with measurable progress and less reliance on information-heavy orientation sessions.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role and one onboarding milestone, such as 'ready for first customer interaction' or 'ready for independent workflow execution.'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05</w:t>
      </w:r>
      <w:r>
        <w:rPr>
          <w:rFonts w:ascii="Aptos Display" w:hAnsi="Aptos Display"/>
          <w:b/>
          <w:color w:val="0B1220"/>
          <w:sz w:val="26"/>
        </w:rPr>
        <w:t xml:space="preserve">  Sales enablement and objection handling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Salespeople may know the product but struggle with discovery, positioning, objections, or explaining value consistently under pressure.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Combine approved product and sales guidance with grounded assessments and AI prospect personas that respond dynamically to the representative.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Repeatable practice before real prospect conversations and clearer coaching signals when knowledge does not translate into execution.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product, one buyer persona, the five most common objections, and one call-style Persona Assessment.</w:t>
            </w:r>
          </w:p>
        </w:tc>
      </w:tr>
    </w:tbl>
    <w:p>
      <w:pPr>
        <w:spacing w:after="40"/>
      </w:pP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06</w:t>
      </w:r>
      <w:r>
        <w:rPr>
          <w:rFonts w:ascii="Aptos Display" w:hAnsi="Aptos Display"/>
          <w:b/>
          <w:color w:val="0B1220"/>
          <w:sz w:val="26"/>
        </w:rPr>
        <w:t xml:space="preserve">  Customer service / contact center readiness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Representatives must combine accurate answers with listening, empathy, process compliance, and professional communication.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Teach approved product and support guidance, then let learners practice with AI customers representing common or difficult situations.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Training that measures both knowledge and how that knowledge is applied in the conversation.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support workflow, three common customer issues, and one persona representing a challenging but realistic interaction.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07</w:t>
      </w:r>
      <w:r>
        <w:rPr>
          <w:rFonts w:ascii="Aptos Display" w:hAnsi="Aptos Display"/>
          <w:b/>
          <w:color w:val="0B1220"/>
          <w:sz w:val="26"/>
        </w:rPr>
        <w:t xml:space="preserve">  Software customer education / customer academy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Software companies repeatedly teach customers how to use features, follow business processes, and adopt new releases - often through expensive live enablement.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Use a branded Learn-It Academy to deliver product training, process education, assessments, and scenario practice to customers and users.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A scalable enablement layer around the product that can support onboarding, adoption, certification, and releases.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high-value customer workflow from login to successful outcome, with a short course, assessment, and practice exercise.</w:t>
            </w:r>
          </w:p>
        </w:tc>
      </w:tr>
    </w:tbl>
    <w:p>
      <w:pPr>
        <w:spacing w:after="40"/>
      </w:pP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08</w:t>
      </w:r>
      <w:r>
        <w:rPr>
          <w:rFonts w:ascii="Aptos Display" w:hAnsi="Aptos Display"/>
          <w:b/>
          <w:color w:val="0B1220"/>
          <w:sz w:val="26"/>
        </w:rPr>
        <w:t xml:space="preserve">  Product release and change adoption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A release can be technically successful while adoption lags because employees or customers do not understand what changed or how their work should change.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Translate approved release notes and procedures into role-specific learning, assign it to affected users, and verify understanding before or after launch.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A repeatable bridge between shipping a change and making the workforce or customer base ready to use it.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upcoming release, the two roles most affected, and a short 'what changed / what you do now' learning path.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09</w:t>
      </w:r>
      <w:r>
        <w:rPr>
          <w:rFonts w:ascii="Aptos Display" w:hAnsi="Aptos Display"/>
          <w:b/>
          <w:color w:val="0B1220"/>
          <w:sz w:val="26"/>
        </w:rPr>
        <w:t xml:space="preserve">  Certification and recertification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Organizations need people to periodically prove current knowledge, not just attend training once.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Use assignments, passing requirements, retakes, progress tracking, and scenario-based practice to support initial certification and recurring readiness checks.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A more consistent way to demonstrate current understanding and identify where refresher training is needed.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certification topic, defined pass criteria, annual or role-change reassignment, and one applied-practice scenario.</w:t>
            </w:r>
          </w:p>
        </w:tc>
      </w:tr>
    </w:tbl>
    <w:p>
      <w:pPr>
        <w:spacing w:after="40"/>
      </w:pP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10</w:t>
      </w:r>
      <w:r>
        <w:rPr>
          <w:rFonts w:ascii="Aptos Display" w:hAnsi="Aptos Display"/>
          <w:b/>
          <w:color w:val="0B1220"/>
          <w:sz w:val="26"/>
        </w:rPr>
        <w:t xml:space="preserve">  Dealer, franchise, reseller, and partner networks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Distributed partners need consistent product and process knowledge even though they are not managed as a single internal workforce.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Invite external learners into branded training, organize audiences, assign role-specific content, and provide common assessment and practice standards.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More consistent brand and process execution across a distributed ecosystem.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partner type, one core product/process, and a standard onboarding or certification path.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11</w:t>
      </w:r>
      <w:r>
        <w:rPr>
          <w:rFonts w:ascii="Aptos Display" w:hAnsi="Aptos Display"/>
          <w:b/>
          <w:color w:val="0B1220"/>
          <w:sz w:val="26"/>
        </w:rPr>
        <w:t xml:space="preserve">  Institutional knowledge retention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Critical knowledge often lives with experienced employees and is lost when people retire, transfer, or leave.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Capture approved expert knowledge in reusable modules, assessments, and scenarios that teach not only what to do, but how to respond when conditions vary.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A practical way to convert tribal knowledge into repeatable organizational learning.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Select one process owned by a small number of experts and convert the 'happy path + common exceptions' into a course and scenario.</w:t>
            </w:r>
          </w:p>
        </w:tc>
      </w:tr>
    </w:tbl>
    <w:p>
      <w:pPr>
        <w:spacing w:after="40"/>
      </w:pPr>
    </w:p>
    <w:p>
      <w:pPr>
        <w:spacing w:before="140" w:after="60"/>
        <w:keepNext/>
      </w:pPr>
      <w:r>
        <w:rPr>
          <w:rFonts w:ascii="Aptos" w:hAnsi="Aptos"/>
          <w:b/>
          <w:color w:val="1ECAD3"/>
          <w:sz w:val="18"/>
        </w:rPr>
        <w:t>12</w:t>
      </w:r>
      <w:r>
        <w:rPr>
          <w:rFonts w:ascii="Aptos Display" w:hAnsi="Aptos Display"/>
          <w:b/>
          <w:color w:val="0B1220"/>
          <w:sz w:val="26"/>
        </w:rPr>
        <w:t xml:space="preserve">  Leadership and difficult-conversation practice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67"/>
            <w:shd w:fill="EAF1FF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CHALLENGE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Managers often learn feedback, coaching, conflict, and change conversations on real employees, where mistakes are costly.</w:t>
            </w:r>
          </w:p>
        </w:tc>
        <w:tc>
          <w:tcPr>
            <w:tcW w:type="dxa" w:w="4867"/>
            <w:shd w:fill="E8FA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246BFD"/>
                <w:sz w:val="15"/>
              </w:rPr>
              <w:t>LEARN-IT APPROACH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Create employee or stakeholder personas and let leaders practice difficult conversations in a controlled environment before the real interaction.</w:t>
            </w:r>
          </w:p>
        </w:tc>
      </w:tr>
      <w:tr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BUSINESS VALUE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More opportunities to rehearse judgment, communication, and policy-aligned responses without requiring live role-play every time.</w:t>
            </w:r>
          </w:p>
        </w:tc>
        <w:tc>
          <w:tcPr>
            <w:tcW w:type="dxa" w:w="4867"/>
            <w:shd w:fill="F4F7FB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5" w:color="DCE3EE"/>
              <w:left w:val="single" w:sz="5" w:color="DCE3EE"/>
              <w:bottom w:val="single" w:sz="5" w:color="DCE3EE"/>
              <w:right w:val="single" w:sz="5" w:color="DCE3EE"/>
            </w:tcBorders>
          </w:tcPr>
          <w:p>
            <w:r>
              <w:rPr>
                <w:rFonts w:ascii="Aptos" w:hAnsi="Aptos"/>
                <w:b/>
                <w:color w:val="5B6574"/>
                <w:sz w:val="15"/>
              </w:rPr>
              <w:t>STARTER PILOT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8"/>
              </w:rPr>
              <w:t>One common manager conversation - performance feedback, attendance, coaching, or change communication - with a reusable persona and evaluation criteria.</w:t>
            </w:r>
          </w:p>
        </w:tc>
      </w:tr>
    </w:tbl>
    <w:p>
      <w:pPr>
        <w:spacing w:after="40"/>
      </w:pPr>
    </w:p>
    <w:p>
      <w:pPr>
        <w:pStyle w:val="MirAIEyebrow"/>
      </w:pPr>
      <w:r>
        <w:rPr>
          <w:rFonts w:ascii="Aptos" w:hAnsi="Aptos"/>
          <w:b/>
          <w:color w:val="1ECAD3"/>
        </w:rPr>
        <w:t>PILOT DESIGN</w:t>
      </w:r>
    </w:p>
    <w:p>
      <w:pPr>
        <w:pStyle w:val="Heading1"/>
      </w:pPr>
      <w:r>
        <w:t>A practical first implementation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Choose one workflow or role with a visible business problem.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Identify the approved source material and the subject-matter expert who owns it.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Build several concise modules instead of trying to convert the entire knowledge base at once.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Create one grounded knowledge assessment tied to those modules.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Add one Persona Call scenario where applied judgment or communication matters.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Assign the experience to a focused learner group and review completion, assessment results, and coaching opportunities.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Use what you learn from the first workflow to expand into the next audience or business problem.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3"/>
        <w:gridCol w:w="9720"/>
      </w:tblGrid>
      <w:tr>
        <w:trPr>
          <w:cantSplit/>
        </w:trPr>
        <w:tc>
          <w:tcPr>
            <w:tcW w:type="dxa" w:w="5112"/>
            <w:shd w:fill="246BF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12"/>
            <w:shd w:fill="EAF1FF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r>
              <w:rPr>
                <w:rFonts w:ascii="Aptos" w:hAnsi="Aptos"/>
                <w:b/>
                <w:color w:val="0B1220"/>
                <w:sz w:val="22"/>
              </w:rPr>
              <w:t>Messaging note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9"/>
              </w:rPr>
              <w:t>The public Learn-It experience is positioned as configurable around an organization's content, roles, and outcomes. Avoid presenting these scenarios as customer references unless MirAI has a real customer deployment to cite; present them as implementation patterns or potential applications.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</w:trPr>
        <w:tc>
          <w:tcPr>
            <w:tcW w:type="dxa" w:w="10224"/>
            <w:shd w:fill="0B1220"/>
            <w:tcMar>
              <w:top w:w="230" w:type="dxa"/>
              <w:start w:w="260" w:type="dxa"/>
              <w:bottom w:w="230" w:type="dxa"/>
              <w:end w:w="260" w:type="dxa"/>
            </w:tcMar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28"/>
              </w:rPr>
              <w:t>Bring us one training problem. We'll show you how Learn-It can approach it.</w:t>
            </w:r>
          </w:p>
          <w:p>
            <w:pPr>
              <w:jc w:val="center"/>
            </w:pPr>
            <w:r>
              <w:rPr>
                <w:rFonts w:ascii="Aptos" w:hAnsi="Aptos"/>
                <w:color w:val="D6DDEA"/>
                <w:sz w:val="19"/>
              </w:rPr>
              <w:t>Explore the platform, then request access to the guided Learn-It demo.</w:t>
            </w:r>
          </w:p>
          <w:p>
            <w:pPr>
              <w:jc w:val="center"/>
            </w:pPr>
            <w:hyperlink r:id="rId10">
              <w:r>
                <w:rPr>
                  <w:color w:val="1ECAD3"/>
                  <w:b/>
                  <w:sz w:val="19"/>
                  <w:szCs w:val="19"/>
                  <w:rFonts w:ascii="Aptos" w:hAnsi="Aptos"/>
                </w:rPr>
                <w:t>Website: www.mirai-tek.com</w:t>
              </w:r>
            </w:hyperlink>
            <w:r>
              <w:rPr>
                <w:rFonts w:ascii="Aptos" w:hAnsi="Aptos"/>
              </w:rPr>
              <w:t xml:space="preserve">     </w:t>
            </w:r>
            <w:hyperlink r:id="rId11">
              <w:r>
                <w:rPr>
                  <w:color w:val="75A7FF"/>
                  <w:b/>
                  <w:sz w:val="19"/>
                  <w:szCs w:val="19"/>
                  <w:rFonts w:ascii="Aptos" w:hAnsi="Aptos"/>
                </w:rPr>
                <w:t>Demo: Request a Learn-It Demo</w:t>
              </w:r>
            </w:hyperlink>
            <w:r>
              <w:rPr>
                <w:rFonts w:ascii="Aptos" w:hAnsi="Aptos"/>
              </w:rPr>
              <w:t xml:space="preserve">     </w:t>
            </w:r>
            <w:hyperlink r:id="rId12">
              <w:r>
                <w:rPr>
                  <w:color w:val="D6DDEA"/>
                  <w:sz w:val="19"/>
                  <w:szCs w:val="19"/>
                  <w:rFonts w:ascii="Aptos" w:hAnsi="Aptos"/>
                </w:rPr>
                <w:t>hello@mirai-tek.com</w:t>
              </w:r>
            </w:hyperlink>
          </w:p>
        </w:tc>
      </w:tr>
    </w:tbl>
    <w:p>
      <w:pPr>
        <w:spacing w:before="200" w:after="80"/>
        <w:jc w:val="center"/>
        <w:keepNext/>
      </w:pPr>
      <w:r>
        <w:rPr>
          <w:rFonts w:ascii="Aptos" w:hAnsi="Aptos"/>
          <w:b/>
          <w:color w:val="5B6574"/>
          <w:sz w:val="17"/>
        </w:rPr>
        <w:t>SCAN OR CLICK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rPr>
          <w:cantSplit/>
        </w:trPr>
        <w:tc>
          <w:tcPr>
            <w:tcW w:type="dxa" w:w="5112"/>
            <w:shd w:fill="F4F7FB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58368" cy="65836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ebsite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583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hyperlink r:id="rId10">
              <w:r>
                <w:rPr>
                  <w:color w:val="246BFD"/>
                  <w:b/>
                  <w:sz w:val="18"/>
                  <w:szCs w:val="18"/>
                  <w:rFonts w:ascii="Aptos" w:hAnsi="Aptos"/>
                </w:rPr>
                <w:t>MirAI Technologies Website</w:t>
              </w:r>
            </w:hyperlink>
          </w:p>
        </w:tc>
        <w:tc>
          <w:tcPr>
            <w:tcW w:type="dxa" w:w="5112"/>
            <w:shd w:fill="F4F7FB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58368" cy="6583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emo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583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hyperlink r:id="rId11">
              <w:r>
                <w:rPr>
                  <w:color w:val="246BFD"/>
                  <w:b/>
                  <w:sz w:val="18"/>
                  <w:szCs w:val="18"/>
                  <w:rFonts w:ascii="Aptos" w:hAnsi="Aptos"/>
                </w:rPr>
                <w:t>Request a Learn-It Demo</w:t>
              </w:r>
            </w:hyperlink>
          </w:p>
        </w:tc>
      </w:tr>
    </w:tbl>
    <w:sectPr w:rsidR="00FC693F" w:rsidRPr="0006063C" w:rsidSect="00034616">
      <w:headerReference w:type="default" r:id="rId9"/>
      <w:footerReference w:type="default" r:id="rId15"/>
      <w:pgSz w:w="12240" w:h="15840"/>
      <w:pgMar w:top="835" w:right="1008" w:bottom="835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024"/>
      <w:gridCol w:w="4104"/>
      <w:gridCol w:w="3024"/>
    </w:tblGrid>
    <w:tr>
      <w:tc>
        <w:tcPr>
          <w:tcW w:type="dxa" w:w="3384"/>
          <w:tcMar>
            <w:top w:w="60" w:type="dxa"/>
            <w:start w:w="0" w:type="dxa"/>
            <w:bottom w:w="0" w:type="dxa"/>
            <w:end w:w="0" w:type="dxa"/>
          </w:tcMar>
          <w:tcBorders>
            <w:top w:val="single" w:sz="8" w:color="DCE3EE"/>
          </w:tcBorders>
        </w:tcPr>
        <w:p>
          <w:pPr>
            <w:jc w:val="left"/>
          </w:pPr>
          <w:hyperlink r:id="rId1">
            <w:r>
              <w:rPr>
                <w:color w:val="5B6574"/>
                <w:sz w:val="15"/>
                <w:szCs w:val="15"/>
                <w:rFonts w:ascii="Aptos" w:hAnsi="Aptos"/>
              </w:rPr>
              <w:t>mirai-tek.com</w:t>
            </w:r>
          </w:hyperlink>
        </w:p>
      </w:tc>
      <w:tc>
        <w:tcPr>
          <w:tcW w:type="dxa" w:w="3384"/>
          <w:tcMar>
            <w:top w:w="60" w:type="dxa"/>
            <w:start w:w="0" w:type="dxa"/>
            <w:bottom w:w="0" w:type="dxa"/>
            <w:end w:w="0" w:type="dxa"/>
          </w:tcMar>
          <w:tcBorders>
            <w:top w:val="single" w:sz="8" w:color="DCE3EE"/>
          </w:tcBorders>
        </w:tcPr>
        <w:p>
          <w:pPr>
            <w:jc w:val="center"/>
          </w:pPr>
          <w:r>
            <w:rPr>
              <w:rFonts w:ascii="Aptos" w:hAnsi="Aptos"/>
              <w:color w:val="5B6574"/>
              <w:sz w:val="15"/>
            </w:rPr>
            <w:t>Applied AI for serious work.</w:t>
          </w:r>
        </w:p>
      </w:tc>
      <w:tc>
        <w:tcPr>
          <w:tcW w:type="dxa" w:w="3384"/>
          <w:tcMar>
            <w:top w:w="60" w:type="dxa"/>
            <w:start w:w="0" w:type="dxa"/>
            <w:bottom w:w="0" w:type="dxa"/>
            <w:end w:w="0" w:type="dxa"/>
          </w:tcMar>
          <w:tcBorders>
            <w:top w:val="single" w:sz="8" w:color="DCE3EE"/>
          </w:tcBorders>
        </w:tcPr>
        <w:p>
          <w:pPr>
            <w:jc w:val="right"/>
          </w:pPr>
          <w:hyperlink r:id="rId2">
            <w:r>
              <w:rPr>
                <w:color w:val="246BFD"/>
                <w:b/>
                <w:sz w:val="15"/>
                <w:szCs w:val="15"/>
                <w:rFonts w:ascii="Aptos" w:hAnsi="Aptos"/>
              </w:rPr>
              <w:t>Request a Demo</w:t>
            </w:r>
          </w:hyperlink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24"/>
      <w:gridCol w:w="3528"/>
    </w:tblGrid>
    <w:tr>
      <w:tc>
        <w:tcPr>
          <w:tcW w:type="dxa" w:w="5076"/>
          <w:tcMar>
            <w:top w:w="0" w:type="dxa"/>
            <w:start w:w="0" w:type="dxa"/>
            <w:bottom w:w="50" w:type="dxa"/>
            <w:end w:w="0" w:type="dxa"/>
          </w:tcMar>
          <w:tcBorders>
            <w:bottom w:val="single" w:sz="10" w:color="DCE3EE"/>
          </w:tcBorders>
        </w:tcPr>
        <w:p>
          <w:pPr>
            <w:jc w:val="left"/>
          </w:pPr>
          <w:r>
            <w:rPr>
              <w:rFonts w:ascii="Aptos Display" w:hAnsi="Aptos Display"/>
              <w:b/>
              <w:color w:val="0B1220"/>
              <w:sz w:val="22"/>
            </w:rPr>
            <w:t>Mir</w:t>
          </w:r>
          <w:r>
            <w:rPr>
              <w:rFonts w:ascii="Aptos Display" w:hAnsi="Aptos Display"/>
              <w:b/>
              <w:color w:val="1ECAD3"/>
              <w:sz w:val="22"/>
            </w:rPr>
            <w:t>AI</w:t>
          </w:r>
          <w:r>
            <w:rPr>
              <w:rFonts w:ascii="Aptos" w:hAnsi="Aptos"/>
              <w:b/>
              <w:color w:val="5B6574"/>
              <w:sz w:val="15"/>
            </w:rPr>
            <w:t xml:space="preserve">  TECHNOLOGIES</w:t>
          </w:r>
        </w:p>
      </w:tc>
      <w:tc>
        <w:tcPr>
          <w:tcW w:type="dxa" w:w="5076"/>
          <w:tcMar>
            <w:top w:w="0" w:type="dxa"/>
            <w:start w:w="0" w:type="dxa"/>
            <w:bottom w:w="50" w:type="dxa"/>
            <w:end w:w="0" w:type="dxa"/>
          </w:tcMar>
          <w:tcBorders>
            <w:bottom w:val="single" w:sz="10" w:color="DCE3EE"/>
          </w:tcBorders>
        </w:tcPr>
        <w:p>
          <w:pPr>
            <w:jc w:val="right"/>
          </w:pPr>
          <w:r>
            <w:rPr>
              <w:rFonts w:ascii="Aptos" w:hAnsi="Aptos"/>
              <w:b/>
              <w:color w:val="246BFD"/>
              <w:sz w:val="18"/>
            </w:rPr>
            <w:t>LEARN-IT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4" w:lineRule="auto"/>
    </w:pPr>
    <w:rPr>
      <w:rFonts w:ascii="Aptos" w:hAnsi="Aptos"/>
      <w:color w:val="15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46BF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5203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122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rAIEyebrow">
    <w:name w:val="MirAI Eyebrow"/>
    <w:pPr>
      <w:keepNext/>
      <w:spacing w:after="80"/>
    </w:pPr>
    <w:rPr>
      <w:rFonts w:ascii="Aptos" w:hAnsi="Aptos"/>
      <w:b/>
      <w:color w:val="1ECAD3"/>
      <w:sz w:val="17"/>
    </w:rPr>
  </w:style>
  <w:style w:type="paragraph" w:customStyle="1" w:styleId="MirAIPullQuote">
    <w:name w:val="MirAI Pull Quote"/>
    <w:pPr>
      <w:spacing w:before="140" w:after="160"/>
    </w:pPr>
    <w:rPr>
      <w:rFonts w:ascii="Aptos Display" w:hAnsi="Aptos Display"/>
      <w:b/>
      <w:color w:val="0B1220"/>
      <w:sz w:val="32"/>
    </w:rPr>
  </w:style>
  <w:style w:type="paragraph" w:customStyle="1" w:styleId="MirAISmall">
    <w:name w:val="MirAI Small"/>
    <w:pPr>
      <w:spacing w:after="60"/>
    </w:pPr>
    <w:rPr>
      <w:rFonts w:ascii="Aptos" w:hAnsi="Aptos"/>
      <w:color w:val="5B6574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yperlink" Target="https://www.mirai-tek.com" TargetMode="External"/><Relationship Id="rId11" Type="http://schemas.openxmlformats.org/officeDocument/2006/relationships/hyperlink" Target="https://www.mirai-tek.com/products/learn-it" TargetMode="External"/><Relationship Id="rId12" Type="http://schemas.openxmlformats.org/officeDocument/2006/relationships/hyperlink" Target="mailto:hello@mirai-tek.com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mirai-tek.com" TargetMode="External"/><Relationship Id="rId2" Type="http://schemas.openxmlformats.org/officeDocument/2006/relationships/hyperlink" Target="https://www.mirai-tek.com/products/learn-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